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81F" w:rsidRDefault="00B2312D" w:rsidP="00D0481F">
      <w:pPr>
        <w:pStyle w:val="Default"/>
        <w:rPr>
          <w:rFonts w:ascii="ＭＳ 明朝" w:eastAsia="ＭＳ 明朝" w:hAnsi="ＭＳ 明朝"/>
          <w:sz w:val="22"/>
          <w:szCs w:val="23"/>
        </w:rPr>
      </w:pPr>
      <w:r>
        <w:rPr>
          <w:rFonts w:ascii="ＭＳ 明朝" w:eastAsia="ＭＳ 明朝" w:hAnsi="ＭＳ 明朝" w:hint="eastAsia"/>
          <w:sz w:val="22"/>
          <w:szCs w:val="23"/>
        </w:rPr>
        <w:t>別記２</w:t>
      </w:r>
      <w:r w:rsidR="0005102D">
        <w:rPr>
          <w:rFonts w:ascii="ＭＳ 明朝" w:eastAsia="ＭＳ 明朝" w:hAnsi="ＭＳ 明朝" w:hint="eastAsia"/>
          <w:sz w:val="22"/>
          <w:szCs w:val="23"/>
        </w:rPr>
        <w:t>-１</w:t>
      </w:r>
    </w:p>
    <w:p w:rsidR="00D0481F" w:rsidRDefault="00D0481F" w:rsidP="00275DF8">
      <w:pPr>
        <w:pStyle w:val="Default"/>
        <w:jc w:val="center"/>
        <w:rPr>
          <w:rFonts w:ascii="ＭＳ 明朝" w:eastAsia="ＭＳ 明朝" w:hAnsi="ＭＳ 明朝"/>
          <w:sz w:val="22"/>
          <w:szCs w:val="23"/>
        </w:rPr>
      </w:pPr>
    </w:p>
    <w:p w:rsidR="00335380" w:rsidRPr="004B467C" w:rsidRDefault="00B2312D" w:rsidP="00B2312D">
      <w:pPr>
        <w:pStyle w:val="Default"/>
        <w:ind w:left="660" w:hangingChars="300" w:hanging="660"/>
        <w:rPr>
          <w:rFonts w:ascii="ＭＳ 明朝" w:eastAsia="ＭＳ 明朝" w:hAnsi="ＭＳ 明朝"/>
          <w:sz w:val="22"/>
          <w:szCs w:val="23"/>
        </w:rPr>
      </w:pPr>
      <w:r>
        <w:rPr>
          <w:rFonts w:ascii="ＭＳ 明朝" w:eastAsia="ＭＳ 明朝" w:hAnsi="ＭＳ 明朝" w:hint="eastAsia"/>
          <w:sz w:val="22"/>
          <w:szCs w:val="23"/>
        </w:rPr>
        <w:t xml:space="preserve">　　　</w:t>
      </w:r>
      <w:r w:rsidR="00EF5537" w:rsidRPr="00EF5537">
        <w:rPr>
          <w:rFonts w:ascii="ＭＳ 明朝" w:eastAsia="ＭＳ 明朝" w:hAnsi="ＭＳ 明朝" w:hint="eastAsia"/>
          <w:sz w:val="22"/>
          <w:szCs w:val="23"/>
        </w:rPr>
        <w:t>国富町議会会議録検索システムデータ作成業務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3"/>
        </w:rPr>
        <w:t>に係る公募型</w:t>
      </w:r>
      <w:r w:rsidR="00335380" w:rsidRPr="004B467C">
        <w:rPr>
          <w:rFonts w:ascii="ＭＳ 明朝" w:eastAsia="ＭＳ 明朝" w:hAnsi="ＭＳ 明朝" w:hint="eastAsia"/>
          <w:sz w:val="22"/>
          <w:szCs w:val="23"/>
        </w:rPr>
        <w:t>プロポーザル審査基準</w:t>
      </w:r>
    </w:p>
    <w:p w:rsidR="00275DF8" w:rsidRPr="00275DF8" w:rsidRDefault="00275DF8" w:rsidP="00275DF8">
      <w:pPr>
        <w:pStyle w:val="Default"/>
        <w:jc w:val="center"/>
        <w:rPr>
          <w:rFonts w:ascii="ＭＳ 明朝" w:eastAsia="ＭＳ 明朝" w:hAnsi="ＭＳ 明朝"/>
          <w:sz w:val="23"/>
          <w:szCs w:val="23"/>
        </w:rPr>
      </w:pPr>
    </w:p>
    <w:p w:rsidR="005E697C" w:rsidRDefault="00AF06CE" w:rsidP="00AF06C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335380" w:rsidRPr="00275DF8">
        <w:rPr>
          <w:rFonts w:ascii="ＭＳ 明朝" w:eastAsia="ＭＳ 明朝" w:hAnsi="ＭＳ 明朝" w:hint="eastAsia"/>
          <w:szCs w:val="21"/>
        </w:rPr>
        <w:t>評価項目、評価の視点及び配点は次のとおりとする。</w:t>
      </w:r>
    </w:p>
    <w:p w:rsidR="00AF06CE" w:rsidRPr="00AF06CE" w:rsidRDefault="00AF06CE" w:rsidP="00AF06CE">
      <w:pPr>
        <w:widowControl/>
        <w:spacing w:after="128" w:line="259" w:lineRule="auto"/>
        <w:ind w:right="221" w:firstLineChars="200" w:firstLine="42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⑴　</w:t>
      </w:r>
      <w:r w:rsidRPr="00AF06CE">
        <w:rPr>
          <w:rFonts w:ascii="ＭＳ 明朝" w:eastAsia="ＭＳ 明朝" w:hAnsi="ＭＳ 明朝" w:cs="ＭＳ 明朝" w:hint="eastAsia"/>
          <w:color w:val="000000"/>
        </w:rPr>
        <w:t xml:space="preserve">評価基準　</w:t>
      </w:r>
    </w:p>
    <w:p w:rsidR="00AF06CE" w:rsidRPr="00AF06CE" w:rsidRDefault="00AF06CE" w:rsidP="00AF06CE">
      <w:pPr>
        <w:widowControl/>
        <w:spacing w:line="259" w:lineRule="auto"/>
        <w:ind w:firstLineChars="300" w:firstLine="630"/>
        <w:jc w:val="left"/>
        <w:rPr>
          <w:rFonts w:ascii="ＭＳ 明朝" w:eastAsia="ＭＳ 明朝" w:hAnsi="ＭＳ 明朝" w:cs="ＭＳ 明朝"/>
          <w:color w:val="000000"/>
        </w:rPr>
      </w:pPr>
      <w:r w:rsidRPr="00AF06CE">
        <w:rPr>
          <w:rFonts w:ascii="ＭＳ 明朝" w:eastAsia="ＭＳ 明朝" w:hAnsi="ＭＳ 明朝" w:cs="ＭＳ 明朝" w:hint="eastAsia"/>
          <w:color w:val="000000"/>
        </w:rPr>
        <w:t>ア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AF06CE">
        <w:rPr>
          <w:rFonts w:ascii="ＭＳ 明朝" w:eastAsia="ＭＳ 明朝" w:hAnsi="ＭＳ 明朝" w:cs="ＭＳ 明朝" w:hint="eastAsia"/>
          <w:color w:val="000000"/>
        </w:rPr>
        <w:t xml:space="preserve">評価項目及び配点は次のとおりとします。　</w:t>
      </w:r>
    </w:p>
    <w:tbl>
      <w:tblPr>
        <w:tblStyle w:val="TableGrid"/>
        <w:tblW w:w="5778" w:type="dxa"/>
        <w:tblInd w:w="854" w:type="dxa"/>
        <w:tblCellMar>
          <w:left w:w="372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1560"/>
        <w:gridCol w:w="1702"/>
      </w:tblGrid>
      <w:tr w:rsidR="00AF06CE" w:rsidRPr="00AF06CE" w:rsidTr="0005102D">
        <w:trPr>
          <w:trHeight w:val="29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27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評価項目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266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配分率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268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配点　</w:t>
            </w:r>
          </w:p>
        </w:tc>
      </w:tr>
      <w:tr w:rsidR="00AF06CE" w:rsidRPr="00AF06CE" w:rsidTr="0005102D">
        <w:trPr>
          <w:trHeight w:val="22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267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技術点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F64B0D" w:rsidP="00AF06CE">
            <w:pPr>
              <w:widowControl/>
              <w:spacing w:line="259" w:lineRule="auto"/>
              <w:ind w:right="266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４</w:t>
            </w:r>
            <w:r w:rsidR="00AF06CE"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F64B0D" w:rsidP="00AF06CE">
            <w:pPr>
              <w:widowControl/>
              <w:spacing w:line="259" w:lineRule="auto"/>
              <w:ind w:right="271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８０</w:t>
            </w:r>
            <w:r w:rsidR="00AF06CE"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点　</w:t>
            </w:r>
          </w:p>
        </w:tc>
      </w:tr>
      <w:tr w:rsidR="00AF06CE" w:rsidRPr="00AF06CE" w:rsidTr="0005102D">
        <w:trPr>
          <w:trHeight w:val="31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価格点（見積書）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266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１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271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>２</w:t>
            </w:r>
            <w:r w:rsidR="00F64B0D">
              <w:rPr>
                <w:rFonts w:ascii="ＭＳ 明朝" w:eastAsia="ＭＳ 明朝" w:hAnsi="ＭＳ 明朝" w:cs="ＭＳ 明朝" w:hint="eastAsia"/>
                <w:color w:val="000000"/>
              </w:rPr>
              <w:t>０</w:t>
            </w: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点　</w:t>
            </w:r>
          </w:p>
        </w:tc>
      </w:tr>
      <w:tr w:rsidR="00AF06CE" w:rsidRPr="00AF06CE" w:rsidTr="0005102D">
        <w:trPr>
          <w:trHeight w:val="9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267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合計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F64B0D" w:rsidP="00AF06CE">
            <w:pPr>
              <w:widowControl/>
              <w:spacing w:line="259" w:lineRule="auto"/>
              <w:ind w:right="266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５</w:t>
            </w:r>
            <w:r w:rsidR="00AF06CE"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271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１００点　</w:t>
            </w:r>
          </w:p>
        </w:tc>
      </w:tr>
    </w:tbl>
    <w:p w:rsidR="00AF06CE" w:rsidRPr="00AF06CE" w:rsidRDefault="00AF06CE" w:rsidP="00AF06CE">
      <w:pPr>
        <w:widowControl/>
        <w:spacing w:after="130" w:line="259" w:lineRule="auto"/>
        <w:ind w:left="72"/>
        <w:jc w:val="left"/>
        <w:rPr>
          <w:rFonts w:ascii="ＭＳ 明朝" w:eastAsia="ＭＳ 明朝" w:hAnsi="ＭＳ 明朝" w:cs="ＭＳ 明朝"/>
          <w:color w:val="000000"/>
        </w:rPr>
      </w:pPr>
      <w:r w:rsidRPr="00AF06CE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="00F64B0D">
        <w:rPr>
          <w:rFonts w:ascii="ＭＳ 明朝" w:eastAsia="ＭＳ 明朝" w:hAnsi="ＭＳ 明朝" w:cs="ＭＳ 明朝" w:hint="eastAsia"/>
          <w:color w:val="000000"/>
        </w:rPr>
        <w:t xml:space="preserve">　※技術点は、委員の平均点とする。</w:t>
      </w:r>
    </w:p>
    <w:p w:rsidR="00AF06CE" w:rsidRPr="00AF06CE" w:rsidRDefault="00AF06CE" w:rsidP="00AF06CE">
      <w:pPr>
        <w:widowControl/>
        <w:spacing w:line="259" w:lineRule="auto"/>
        <w:ind w:firstLineChars="300" w:firstLine="630"/>
        <w:jc w:val="left"/>
        <w:rPr>
          <w:rFonts w:ascii="ＭＳ 明朝" w:eastAsia="ＭＳ 明朝" w:hAnsi="ＭＳ 明朝" w:cs="ＭＳ 明朝"/>
          <w:color w:val="000000"/>
        </w:rPr>
      </w:pPr>
      <w:r w:rsidRPr="00AF06CE">
        <w:rPr>
          <w:rFonts w:ascii="ＭＳ 明朝" w:eastAsia="ＭＳ 明朝" w:hAnsi="ＭＳ 明朝" w:cs="ＭＳ 明朝" w:hint="eastAsia"/>
          <w:color w:val="000000"/>
        </w:rPr>
        <w:t>イ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AF06CE">
        <w:rPr>
          <w:rFonts w:ascii="ＭＳ 明朝" w:eastAsia="ＭＳ 明朝" w:hAnsi="ＭＳ 明朝" w:cs="ＭＳ 明朝" w:hint="eastAsia"/>
          <w:color w:val="000000"/>
        </w:rPr>
        <w:t xml:space="preserve">技術点の審査項目は次のとおりとします。　</w:t>
      </w:r>
    </w:p>
    <w:tbl>
      <w:tblPr>
        <w:tblStyle w:val="TableGrid"/>
        <w:tblW w:w="8124" w:type="dxa"/>
        <w:tblInd w:w="846" w:type="dxa"/>
        <w:tblCellMar>
          <w:top w:w="9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1134"/>
        <w:gridCol w:w="4297"/>
      </w:tblGrid>
      <w:tr w:rsidR="00AF06CE" w:rsidRPr="00AF06CE" w:rsidTr="0005102D">
        <w:trPr>
          <w:trHeight w:val="11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CE" w:rsidRPr="00AF06CE" w:rsidRDefault="00AF06CE" w:rsidP="00AF06CE">
            <w:pPr>
              <w:widowControl/>
              <w:spacing w:line="259" w:lineRule="auto"/>
              <w:ind w:right="8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評価項目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CE" w:rsidRPr="00AF06CE" w:rsidRDefault="00AF06CE" w:rsidP="00AF06CE">
            <w:pPr>
              <w:widowControl/>
              <w:spacing w:line="259" w:lineRule="auto"/>
              <w:ind w:left="163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配点　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CE" w:rsidRPr="00AF06CE" w:rsidRDefault="00AF06CE" w:rsidP="00AF06CE">
            <w:pPr>
              <w:widowControl/>
              <w:spacing w:line="259" w:lineRule="auto"/>
              <w:ind w:right="7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審査内容　</w:t>
            </w:r>
          </w:p>
        </w:tc>
      </w:tr>
      <w:tr w:rsidR="00AF06CE" w:rsidRPr="00AF06CE" w:rsidTr="009C0E35">
        <w:trPr>
          <w:trHeight w:val="94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8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実施体制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left="13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２５点　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CE" w:rsidRPr="00AF06CE" w:rsidRDefault="00AF06CE" w:rsidP="00AF06CE">
            <w:pPr>
              <w:widowControl/>
              <w:spacing w:after="63" w:line="259" w:lineRule="auto"/>
              <w:ind w:right="221"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⑴　</w:t>
            </w: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実施体制・スケジュール　</w:t>
            </w:r>
          </w:p>
          <w:p w:rsidR="00AF06CE" w:rsidRPr="00AF06CE" w:rsidRDefault="00AF06CE" w:rsidP="00AF06CE">
            <w:pPr>
              <w:widowControl/>
              <w:spacing w:after="63" w:line="259" w:lineRule="auto"/>
              <w:ind w:right="221"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⑵　</w:t>
            </w: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業務実績　</w:t>
            </w:r>
          </w:p>
          <w:p w:rsidR="00AF06CE" w:rsidRPr="00AF06CE" w:rsidRDefault="00AF06CE" w:rsidP="00AF06CE">
            <w:pPr>
              <w:widowControl/>
              <w:spacing w:after="128" w:line="259" w:lineRule="auto"/>
              <w:ind w:right="221"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⑶　</w:t>
            </w: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操作研修・導入支援　</w:t>
            </w:r>
          </w:p>
        </w:tc>
      </w:tr>
      <w:tr w:rsidR="00AF06CE" w:rsidRPr="00AF06CE" w:rsidTr="00AF06CE">
        <w:trPr>
          <w:trHeight w:val="10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right="8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システム内容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F64B0D" w:rsidP="00AF06CE">
            <w:pPr>
              <w:widowControl/>
              <w:spacing w:line="259" w:lineRule="auto"/>
              <w:ind w:left="13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４</w:t>
            </w:r>
            <w:r w:rsidR="0059404E">
              <w:rPr>
                <w:rFonts w:ascii="ＭＳ 明朝" w:eastAsia="ＭＳ 明朝" w:hAnsi="ＭＳ 明朝" w:cs="ＭＳ 明朝" w:hint="eastAsia"/>
                <w:color w:val="000000"/>
              </w:rPr>
              <w:t>０</w:t>
            </w:r>
            <w:r w:rsidR="00AF06CE"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点　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CE" w:rsidRPr="00AF06CE" w:rsidRDefault="00AF06CE" w:rsidP="00AF06CE">
            <w:pPr>
              <w:widowControl/>
              <w:spacing w:after="63" w:line="259" w:lineRule="auto"/>
              <w:ind w:right="221"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⑴　</w:t>
            </w: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機能要件　</w:t>
            </w:r>
          </w:p>
          <w:p w:rsidR="00AF06CE" w:rsidRPr="00AF06CE" w:rsidRDefault="00AF06CE" w:rsidP="00AF06CE">
            <w:pPr>
              <w:widowControl/>
              <w:spacing w:after="63" w:line="259" w:lineRule="auto"/>
              <w:ind w:right="221"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⑵　</w:t>
            </w: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非機能要件　</w:t>
            </w:r>
          </w:p>
          <w:p w:rsidR="00AF06CE" w:rsidRPr="00AF06CE" w:rsidRDefault="00AF06CE" w:rsidP="00AF06CE">
            <w:pPr>
              <w:widowControl/>
              <w:spacing w:after="128" w:line="259" w:lineRule="auto"/>
              <w:ind w:right="221"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⑶　</w:t>
            </w: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拡張性・追加提案　</w:t>
            </w:r>
          </w:p>
        </w:tc>
      </w:tr>
      <w:tr w:rsidR="00AF06CE" w:rsidRPr="00AF06CE" w:rsidTr="00AF06CE">
        <w:trPr>
          <w:trHeight w:val="40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left="204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デモンストレーション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E" w:rsidRPr="00AF06CE" w:rsidRDefault="00AF06CE" w:rsidP="00AF06CE">
            <w:pPr>
              <w:widowControl/>
              <w:spacing w:line="259" w:lineRule="auto"/>
              <w:ind w:left="13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>１</w:t>
            </w:r>
            <w:r w:rsidR="0059404E">
              <w:rPr>
                <w:rFonts w:ascii="ＭＳ 明朝" w:eastAsia="ＭＳ 明朝" w:hAnsi="ＭＳ 明朝" w:cs="ＭＳ 明朝" w:hint="eastAsia"/>
                <w:color w:val="000000"/>
              </w:rPr>
              <w:t>５</w:t>
            </w: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点　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CE" w:rsidRPr="00AF06CE" w:rsidRDefault="00AF06CE" w:rsidP="00AF06CE">
            <w:pPr>
              <w:widowControl/>
              <w:spacing w:line="259" w:lineRule="auto"/>
              <w:ind w:leftChars="100" w:left="210" w:right="1633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⑴　</w:t>
            </w: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操作性　　</w:t>
            </w:r>
          </w:p>
        </w:tc>
      </w:tr>
      <w:tr w:rsidR="00AF06CE" w:rsidRPr="00AF06CE" w:rsidTr="00AF06CE">
        <w:trPr>
          <w:trHeight w:val="3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CE" w:rsidRPr="00AF06CE" w:rsidRDefault="00AF06CE" w:rsidP="00AF06CE">
            <w:pPr>
              <w:widowControl/>
              <w:spacing w:line="259" w:lineRule="auto"/>
              <w:ind w:right="8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合計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CE" w:rsidRPr="00AF06CE" w:rsidRDefault="00F64B0D" w:rsidP="00AF06CE">
            <w:pPr>
              <w:widowControl/>
              <w:spacing w:line="259" w:lineRule="auto"/>
              <w:ind w:left="13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８０</w:t>
            </w:r>
            <w:r w:rsidR="00AF06CE"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点　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CE" w:rsidRPr="00AF06CE" w:rsidRDefault="00AF06CE" w:rsidP="00AF06CE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AF06CE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</w:tr>
    </w:tbl>
    <w:p w:rsidR="00AF06CE" w:rsidRPr="00AF06CE" w:rsidRDefault="00AF06CE" w:rsidP="0005102D">
      <w:pPr>
        <w:widowControl/>
        <w:spacing w:after="130"/>
        <w:ind w:firstLineChars="300" w:firstLine="63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ウ　</w:t>
      </w:r>
      <w:r w:rsidRPr="00AF06CE">
        <w:rPr>
          <w:rFonts w:ascii="ＭＳ 明朝" w:eastAsia="ＭＳ 明朝" w:hAnsi="ＭＳ 明朝" w:cs="ＭＳ 明朝" w:hint="eastAsia"/>
          <w:color w:val="000000"/>
        </w:rPr>
        <w:t xml:space="preserve">特定基準点　</w:t>
      </w:r>
    </w:p>
    <w:p w:rsidR="00AF06CE" w:rsidRDefault="00AF06CE" w:rsidP="0005102D">
      <w:pPr>
        <w:widowControl/>
        <w:spacing w:after="128"/>
        <w:ind w:firstLineChars="500" w:firstLine="1050"/>
        <w:jc w:val="left"/>
        <w:rPr>
          <w:rFonts w:ascii="ＭＳ 明朝" w:eastAsia="ＭＳ 明朝" w:hAnsi="ＭＳ 明朝" w:cs="ＭＳ 明朝"/>
          <w:color w:val="000000"/>
        </w:rPr>
      </w:pPr>
      <w:r w:rsidRPr="00AF06CE">
        <w:rPr>
          <w:rFonts w:ascii="ＭＳ 明朝" w:eastAsia="ＭＳ 明朝" w:hAnsi="ＭＳ 明朝" w:cs="ＭＳ 明朝" w:hint="eastAsia"/>
          <w:color w:val="000000"/>
        </w:rPr>
        <w:t>技術点</w:t>
      </w:r>
      <w:r w:rsidR="00F64B0D">
        <w:rPr>
          <w:rFonts w:ascii="ＭＳ 明朝" w:eastAsia="ＭＳ 明朝" w:hAnsi="ＭＳ 明朝" w:cs="ＭＳ 明朝" w:hint="eastAsia"/>
          <w:color w:val="000000"/>
        </w:rPr>
        <w:t>８０</w:t>
      </w:r>
      <w:r w:rsidRPr="00AF06CE">
        <w:rPr>
          <w:rFonts w:ascii="ＭＳ 明朝" w:eastAsia="ＭＳ 明朝" w:hAnsi="ＭＳ 明朝" w:cs="ＭＳ 明朝" w:hint="eastAsia"/>
          <w:color w:val="000000"/>
        </w:rPr>
        <w:t>点の過半数（</w:t>
      </w:r>
      <w:r w:rsidR="00F64B0D">
        <w:rPr>
          <w:rFonts w:ascii="ＭＳ 明朝" w:eastAsia="ＭＳ 明朝" w:hAnsi="ＭＳ 明朝" w:cs="ＭＳ 明朝" w:hint="eastAsia"/>
          <w:color w:val="000000"/>
        </w:rPr>
        <w:t>４０</w:t>
      </w:r>
      <w:r w:rsidRPr="00AF06CE">
        <w:rPr>
          <w:rFonts w:ascii="ＭＳ 明朝" w:eastAsia="ＭＳ 明朝" w:hAnsi="ＭＳ 明朝" w:cs="ＭＳ 明朝" w:hint="eastAsia"/>
          <w:color w:val="000000"/>
        </w:rPr>
        <w:t xml:space="preserve">点以上）とします。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AF06CE" w:rsidRPr="00AF06CE" w:rsidRDefault="00AF06CE" w:rsidP="0005102D">
      <w:pPr>
        <w:widowControl/>
        <w:spacing w:after="128"/>
        <w:ind w:firstLineChars="300" w:firstLine="63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エ　</w:t>
      </w:r>
      <w:r w:rsidRPr="00AF06CE">
        <w:rPr>
          <w:rFonts w:ascii="ＭＳ 明朝" w:eastAsia="ＭＳ 明朝" w:hAnsi="ＭＳ 明朝" w:cs="ＭＳ 明朝" w:hint="eastAsia"/>
          <w:color w:val="000000"/>
        </w:rPr>
        <w:t xml:space="preserve">順位の確定方法　</w:t>
      </w:r>
    </w:p>
    <w:p w:rsidR="00AF06CE" w:rsidRPr="00AF06CE" w:rsidRDefault="00AF06CE" w:rsidP="0005102D">
      <w:pPr>
        <w:widowControl/>
        <w:ind w:leftChars="400" w:left="840" w:firstLineChars="100" w:firstLine="210"/>
        <w:jc w:val="left"/>
        <w:rPr>
          <w:rFonts w:ascii="ＭＳ 明朝" w:eastAsia="ＭＳ 明朝" w:hAnsi="ＭＳ 明朝" w:cs="ＭＳ 明朝"/>
          <w:color w:val="000000"/>
        </w:rPr>
      </w:pPr>
      <w:r w:rsidRPr="00AF06CE">
        <w:rPr>
          <w:rFonts w:ascii="ＭＳ 明朝" w:eastAsia="ＭＳ 明朝" w:hAnsi="ＭＳ 明朝" w:cs="ＭＳ 明朝" w:hint="eastAsia"/>
          <w:color w:val="000000"/>
        </w:rPr>
        <w:t xml:space="preserve">評価項目における評価の結果、評価点数の高い提案者を受託者として特定します。また、同点の場合は、技術点が高い提案者を受託者とし、それでも同点の場合は、審査委員会で合議の上、受託者を特定します。　</w:t>
      </w:r>
    </w:p>
    <w:p w:rsidR="00AF06CE" w:rsidRPr="00AF06CE" w:rsidRDefault="00AF06CE" w:rsidP="0005102D">
      <w:pPr>
        <w:widowControl/>
        <w:spacing w:after="128"/>
        <w:ind w:left="840" w:hangingChars="400" w:hanging="840"/>
        <w:jc w:val="left"/>
        <w:rPr>
          <w:rFonts w:ascii="ＭＳ 明朝" w:eastAsia="ＭＳ 明朝" w:hAnsi="ＭＳ 明朝" w:cs="ＭＳ 明朝"/>
          <w:color w:val="000000"/>
        </w:rPr>
      </w:pPr>
      <w:r w:rsidRPr="00AF06CE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AF06CE">
        <w:rPr>
          <w:rFonts w:ascii="ＭＳ 明朝" w:eastAsia="ＭＳ 明朝" w:hAnsi="ＭＳ 明朝" w:cs="ＭＳ 明朝" w:hint="eastAsia"/>
          <w:color w:val="000000"/>
        </w:rPr>
        <w:t>なお、提案者が１</w:t>
      </w:r>
      <w:r>
        <w:rPr>
          <w:rFonts w:ascii="ＭＳ 明朝" w:eastAsia="ＭＳ 明朝" w:hAnsi="ＭＳ 明朝" w:cs="ＭＳ 明朝" w:hint="eastAsia"/>
          <w:color w:val="000000"/>
        </w:rPr>
        <w:t>者</w:t>
      </w:r>
      <w:r w:rsidRPr="00AF06CE">
        <w:rPr>
          <w:rFonts w:ascii="ＭＳ 明朝" w:eastAsia="ＭＳ 明朝" w:hAnsi="ＭＳ 明朝" w:cs="ＭＳ 明朝" w:hint="eastAsia"/>
          <w:color w:val="000000"/>
        </w:rPr>
        <w:t>のみの場合については、審査委員会において技術点の評価</w:t>
      </w:r>
      <w:r w:rsidR="00023822">
        <w:rPr>
          <w:rFonts w:ascii="ＭＳ 明朝" w:eastAsia="ＭＳ 明朝" w:hAnsi="ＭＳ 明朝" w:cs="ＭＳ 明朝" w:hint="eastAsia"/>
          <w:color w:val="000000"/>
        </w:rPr>
        <w:t>が</w:t>
      </w:r>
      <w:r w:rsidRPr="00AF06CE">
        <w:rPr>
          <w:rFonts w:ascii="ＭＳ 明朝" w:eastAsia="ＭＳ 明朝" w:hAnsi="ＭＳ 明朝" w:cs="ＭＳ 明朝" w:hint="eastAsia"/>
          <w:color w:val="000000"/>
        </w:rPr>
        <w:t xml:space="preserve">特定基準点を満たすことを判断基準として、受託者の特定を行います。　</w:t>
      </w:r>
    </w:p>
    <w:p w:rsidR="00AF06CE" w:rsidRPr="00AF06CE" w:rsidRDefault="00AF06CE" w:rsidP="0005102D">
      <w:pPr>
        <w:widowControl/>
        <w:spacing w:after="128"/>
        <w:ind w:firstLineChars="200" w:firstLine="42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⑵　</w:t>
      </w:r>
      <w:r w:rsidRPr="00AF06CE">
        <w:rPr>
          <w:rFonts w:ascii="ＭＳ 明朝" w:eastAsia="ＭＳ 明朝" w:hAnsi="ＭＳ 明朝" w:cs="ＭＳ 明朝" w:hint="eastAsia"/>
          <w:color w:val="000000"/>
        </w:rPr>
        <w:t xml:space="preserve">評価の方法及び選定の方法　</w:t>
      </w:r>
    </w:p>
    <w:p w:rsidR="00AF06CE" w:rsidRPr="00AF06CE" w:rsidRDefault="00AF06CE" w:rsidP="0005102D">
      <w:pPr>
        <w:widowControl/>
        <w:ind w:leftChars="300" w:left="630" w:firstLineChars="100" w:firstLine="210"/>
        <w:jc w:val="left"/>
        <w:rPr>
          <w:rFonts w:ascii="ＭＳ 明朝" w:eastAsia="ＭＳ 明朝" w:hAnsi="ＭＳ 明朝" w:cs="ＭＳ 明朝"/>
          <w:color w:val="000000"/>
        </w:rPr>
      </w:pPr>
      <w:r w:rsidRPr="00AF06CE">
        <w:rPr>
          <w:rFonts w:ascii="ＭＳ 明朝" w:eastAsia="ＭＳ 明朝" w:hAnsi="ＭＳ 明朝" w:cs="ＭＳ 明朝" w:hint="eastAsia"/>
          <w:color w:val="000000"/>
        </w:rPr>
        <w:t>参加希望者に対し、</w:t>
      </w:r>
      <w:r w:rsidR="00EF5537" w:rsidRPr="00EF5537">
        <w:rPr>
          <w:rFonts w:ascii="ＭＳ 明朝" w:eastAsia="ＭＳ 明朝" w:hAnsi="ＭＳ 明朝" w:cs="ＭＳ 明朝" w:hint="eastAsia"/>
          <w:color w:val="000000"/>
        </w:rPr>
        <w:t>国富町議会会議録検索システムデータ作成業務</w:t>
      </w:r>
      <w:r>
        <w:rPr>
          <w:rFonts w:ascii="ＭＳ 明朝" w:eastAsia="ＭＳ 明朝" w:hAnsi="ＭＳ 明朝" w:cs="ＭＳ 明朝" w:hint="eastAsia"/>
          <w:color w:val="000000"/>
        </w:rPr>
        <w:t>に係る</w:t>
      </w:r>
      <w:r w:rsidRPr="00AF06CE">
        <w:rPr>
          <w:rFonts w:ascii="ＭＳ 明朝" w:eastAsia="ＭＳ 明朝" w:hAnsi="ＭＳ 明朝" w:cs="ＭＳ 明朝" w:hint="eastAsia"/>
          <w:color w:val="000000"/>
        </w:rPr>
        <w:t>公募型プロポーザル方式により、「</w:t>
      </w:r>
      <w:r>
        <w:rPr>
          <w:rFonts w:ascii="ＭＳ 明朝" w:eastAsia="ＭＳ 明朝" w:hAnsi="ＭＳ 明朝" w:cs="ＭＳ 明朝" w:hint="eastAsia"/>
          <w:color w:val="000000"/>
        </w:rPr>
        <w:t>技術</w:t>
      </w:r>
      <w:r w:rsidRPr="00AF06CE">
        <w:rPr>
          <w:rFonts w:ascii="ＭＳ 明朝" w:eastAsia="ＭＳ 明朝" w:hAnsi="ＭＳ 明朝" w:cs="ＭＳ 明朝" w:hint="eastAsia"/>
          <w:color w:val="000000"/>
        </w:rPr>
        <w:t>提案書」及び必要となる費用の見積額を記載した「見積書」の提出を求め、提案書の内容及び経費等を客観的かつ総合的に評価</w:t>
      </w:r>
      <w:r w:rsidR="0005102D">
        <w:rPr>
          <w:rFonts w:ascii="ＭＳ 明朝" w:eastAsia="ＭＳ 明朝" w:hAnsi="ＭＳ 明朝" w:cs="ＭＳ 明朝" w:hint="eastAsia"/>
          <w:color w:val="000000"/>
        </w:rPr>
        <w:t>（審査基準の詳細は、別記２-２）</w:t>
      </w:r>
      <w:r w:rsidRPr="00AF06CE">
        <w:rPr>
          <w:rFonts w:ascii="ＭＳ 明朝" w:eastAsia="ＭＳ 明朝" w:hAnsi="ＭＳ 明朝" w:cs="ＭＳ 明朝" w:hint="eastAsia"/>
          <w:color w:val="000000"/>
        </w:rPr>
        <w:t xml:space="preserve">して得られた総合評価点数の最も高い者を受託者として特定し、本町と契約条件に関する協議を行います。　</w:t>
      </w:r>
    </w:p>
    <w:p w:rsidR="00335380" w:rsidRDefault="00335380" w:rsidP="0005102D"/>
    <w:sectPr w:rsidR="00335380" w:rsidSect="0005102D">
      <w:pgSz w:w="11906" w:h="16838" w:code="9"/>
      <w:pgMar w:top="1134" w:right="1701" w:bottom="85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05A" w:rsidRDefault="0030705A" w:rsidP="00B2312D">
      <w:r>
        <w:separator/>
      </w:r>
    </w:p>
  </w:endnote>
  <w:endnote w:type="continuationSeparator" w:id="0">
    <w:p w:rsidR="0030705A" w:rsidRDefault="0030705A" w:rsidP="00B2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05A" w:rsidRDefault="0030705A" w:rsidP="00B2312D">
      <w:r>
        <w:separator/>
      </w:r>
    </w:p>
  </w:footnote>
  <w:footnote w:type="continuationSeparator" w:id="0">
    <w:p w:rsidR="0030705A" w:rsidRDefault="0030705A" w:rsidP="00B2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434"/>
    <w:multiLevelType w:val="hybridMultilevel"/>
    <w:tmpl w:val="9B08EA82"/>
    <w:lvl w:ilvl="0" w:tplc="252EC2E2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A2C6C6">
      <w:start w:val="1"/>
      <w:numFmt w:val="lowerLetter"/>
      <w:lvlText w:val="%2"/>
      <w:lvlJc w:val="left"/>
      <w:pPr>
        <w:ind w:left="1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FC4064">
      <w:start w:val="1"/>
      <w:numFmt w:val="lowerRoman"/>
      <w:lvlText w:val="%3"/>
      <w:lvlJc w:val="left"/>
      <w:pPr>
        <w:ind w:left="21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527C96">
      <w:start w:val="1"/>
      <w:numFmt w:val="decimal"/>
      <w:lvlText w:val="%4"/>
      <w:lvlJc w:val="left"/>
      <w:pPr>
        <w:ind w:left="2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2C7098">
      <w:start w:val="1"/>
      <w:numFmt w:val="lowerLetter"/>
      <w:lvlText w:val="%5"/>
      <w:lvlJc w:val="left"/>
      <w:pPr>
        <w:ind w:left="35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0C296">
      <w:start w:val="1"/>
      <w:numFmt w:val="lowerRoman"/>
      <w:lvlText w:val="%6"/>
      <w:lvlJc w:val="left"/>
      <w:pPr>
        <w:ind w:left="4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B0FC84">
      <w:start w:val="1"/>
      <w:numFmt w:val="decimal"/>
      <w:lvlText w:val="%7"/>
      <w:lvlJc w:val="left"/>
      <w:pPr>
        <w:ind w:left="5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4EF850">
      <w:start w:val="1"/>
      <w:numFmt w:val="lowerLetter"/>
      <w:lvlText w:val="%8"/>
      <w:lvlJc w:val="left"/>
      <w:pPr>
        <w:ind w:left="5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E4B3FA">
      <w:start w:val="1"/>
      <w:numFmt w:val="lowerRoman"/>
      <w:lvlText w:val="%9"/>
      <w:lvlJc w:val="left"/>
      <w:pPr>
        <w:ind w:left="6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3C6B39"/>
    <w:multiLevelType w:val="hybridMultilevel"/>
    <w:tmpl w:val="797AA196"/>
    <w:lvl w:ilvl="0" w:tplc="8A74E99E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94C522">
      <w:start w:val="1"/>
      <w:numFmt w:val="lowerLetter"/>
      <w:lvlText w:val="%2"/>
      <w:lvlJc w:val="left"/>
      <w:pPr>
        <w:ind w:left="1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7888D0">
      <w:start w:val="1"/>
      <w:numFmt w:val="lowerRoman"/>
      <w:lvlText w:val="%3"/>
      <w:lvlJc w:val="left"/>
      <w:pPr>
        <w:ind w:left="21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DEB176">
      <w:start w:val="1"/>
      <w:numFmt w:val="decimal"/>
      <w:lvlText w:val="%4"/>
      <w:lvlJc w:val="left"/>
      <w:pPr>
        <w:ind w:left="2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9C85D4">
      <w:start w:val="1"/>
      <w:numFmt w:val="lowerLetter"/>
      <w:lvlText w:val="%5"/>
      <w:lvlJc w:val="left"/>
      <w:pPr>
        <w:ind w:left="35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DC4714">
      <w:start w:val="1"/>
      <w:numFmt w:val="lowerRoman"/>
      <w:lvlText w:val="%6"/>
      <w:lvlJc w:val="left"/>
      <w:pPr>
        <w:ind w:left="4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443818">
      <w:start w:val="1"/>
      <w:numFmt w:val="decimal"/>
      <w:lvlText w:val="%7"/>
      <w:lvlJc w:val="left"/>
      <w:pPr>
        <w:ind w:left="5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06B1F4">
      <w:start w:val="1"/>
      <w:numFmt w:val="lowerLetter"/>
      <w:lvlText w:val="%8"/>
      <w:lvlJc w:val="left"/>
      <w:pPr>
        <w:ind w:left="5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102202">
      <w:start w:val="1"/>
      <w:numFmt w:val="lowerRoman"/>
      <w:lvlText w:val="%9"/>
      <w:lvlJc w:val="left"/>
      <w:pPr>
        <w:ind w:left="6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7D3139"/>
    <w:multiLevelType w:val="hybridMultilevel"/>
    <w:tmpl w:val="0DBC4934"/>
    <w:lvl w:ilvl="0" w:tplc="DEDC5898">
      <w:start w:val="1"/>
      <w:numFmt w:val="decimal"/>
      <w:lvlText w:val="(%1)"/>
      <w:lvlJc w:val="left"/>
      <w:pPr>
        <w:ind w:left="1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24D3DA">
      <w:start w:val="1"/>
      <w:numFmt w:val="lowerLetter"/>
      <w:lvlText w:val="%2"/>
      <w:lvlJc w:val="left"/>
      <w:pPr>
        <w:ind w:left="1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8A8F08">
      <w:start w:val="1"/>
      <w:numFmt w:val="lowerRoman"/>
      <w:lvlText w:val="%3"/>
      <w:lvlJc w:val="left"/>
      <w:pPr>
        <w:ind w:left="2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AAC56E">
      <w:start w:val="1"/>
      <w:numFmt w:val="decimal"/>
      <w:lvlText w:val="%4"/>
      <w:lvlJc w:val="left"/>
      <w:pPr>
        <w:ind w:left="2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C3E556A">
      <w:start w:val="1"/>
      <w:numFmt w:val="lowerLetter"/>
      <w:lvlText w:val="%5"/>
      <w:lvlJc w:val="left"/>
      <w:pPr>
        <w:ind w:left="3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9C41FC">
      <w:start w:val="1"/>
      <w:numFmt w:val="lowerRoman"/>
      <w:lvlText w:val="%6"/>
      <w:lvlJc w:val="left"/>
      <w:pPr>
        <w:ind w:left="4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45D2C">
      <w:start w:val="1"/>
      <w:numFmt w:val="decimal"/>
      <w:lvlText w:val="%7"/>
      <w:lvlJc w:val="left"/>
      <w:pPr>
        <w:ind w:left="5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D64556">
      <w:start w:val="1"/>
      <w:numFmt w:val="lowerLetter"/>
      <w:lvlText w:val="%8"/>
      <w:lvlJc w:val="left"/>
      <w:pPr>
        <w:ind w:left="5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826EB2">
      <w:start w:val="1"/>
      <w:numFmt w:val="lowerRoman"/>
      <w:lvlText w:val="%9"/>
      <w:lvlJc w:val="left"/>
      <w:pPr>
        <w:ind w:left="6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80"/>
    <w:rsid w:val="00023822"/>
    <w:rsid w:val="0005102D"/>
    <w:rsid w:val="000C1CF2"/>
    <w:rsid w:val="000E0BE1"/>
    <w:rsid w:val="000F69CC"/>
    <w:rsid w:val="00182928"/>
    <w:rsid w:val="001C6014"/>
    <w:rsid w:val="00231DCF"/>
    <w:rsid w:val="00275DF8"/>
    <w:rsid w:val="002C45D7"/>
    <w:rsid w:val="003059CD"/>
    <w:rsid w:val="0030705A"/>
    <w:rsid w:val="00335380"/>
    <w:rsid w:val="00380B7C"/>
    <w:rsid w:val="0044134B"/>
    <w:rsid w:val="00446562"/>
    <w:rsid w:val="004B467C"/>
    <w:rsid w:val="004F7DED"/>
    <w:rsid w:val="0059404E"/>
    <w:rsid w:val="005D4D64"/>
    <w:rsid w:val="005E5CA9"/>
    <w:rsid w:val="005E697C"/>
    <w:rsid w:val="00744CF9"/>
    <w:rsid w:val="00780602"/>
    <w:rsid w:val="007D0858"/>
    <w:rsid w:val="00873510"/>
    <w:rsid w:val="00945D90"/>
    <w:rsid w:val="009C0E35"/>
    <w:rsid w:val="00AF06CE"/>
    <w:rsid w:val="00B2312D"/>
    <w:rsid w:val="00B63B99"/>
    <w:rsid w:val="00B8692E"/>
    <w:rsid w:val="00D0481F"/>
    <w:rsid w:val="00D2241F"/>
    <w:rsid w:val="00DA4D69"/>
    <w:rsid w:val="00EF5537"/>
    <w:rsid w:val="00F64B0D"/>
    <w:rsid w:val="00F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1CD149"/>
  <w15:chartTrackingRefBased/>
  <w15:docId w15:val="{6BA79EEC-7494-48EB-9721-7414C0E2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5380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4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48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3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312D"/>
  </w:style>
  <w:style w:type="paragraph" w:styleId="a7">
    <w:name w:val="footer"/>
    <w:basedOn w:val="a"/>
    <w:link w:val="a8"/>
    <w:uiPriority w:val="99"/>
    <w:unhideWhenUsed/>
    <w:rsid w:val="00B23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312D"/>
  </w:style>
  <w:style w:type="table" w:customStyle="1" w:styleId="TableGrid">
    <w:name w:val="TableGrid"/>
    <w:rsid w:val="00AF06C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邦雄</dc:creator>
  <cp:keywords/>
  <dc:description/>
  <cp:lastModifiedBy>0156</cp:lastModifiedBy>
  <cp:revision>14</cp:revision>
  <cp:lastPrinted>2024-07-02T03:50:00Z</cp:lastPrinted>
  <dcterms:created xsi:type="dcterms:W3CDTF">2024-05-23T01:17:00Z</dcterms:created>
  <dcterms:modified xsi:type="dcterms:W3CDTF">2026-04-07T05:20:00Z</dcterms:modified>
</cp:coreProperties>
</file>